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33FD6E6D"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6F40CA">
        <w:rPr>
          <w:rFonts w:ascii="Times New Roman" w:eastAsia="Times New Roman" w:hAnsi="Times New Roman" w:cs="Times New Roman"/>
          <w:b/>
          <w:bCs/>
          <w:sz w:val="24"/>
          <w:szCs w:val="24"/>
          <w:lang w:eastAsia="ru-RU"/>
        </w:rPr>
        <w:t>8</w:t>
      </w:r>
      <w:r w:rsidR="0086620F">
        <w:rPr>
          <w:rFonts w:ascii="Times New Roman" w:eastAsia="Times New Roman" w:hAnsi="Times New Roman" w:cs="Times New Roman"/>
          <w:b/>
          <w:bCs/>
          <w:sz w:val="24"/>
          <w:szCs w:val="24"/>
          <w:lang w:eastAsia="ru-RU"/>
        </w:rPr>
        <w:t>9</w:t>
      </w:r>
      <w:r w:rsidR="00D543CA" w:rsidRPr="00D543CA">
        <w:rPr>
          <w:rFonts w:ascii="Times New Roman" w:eastAsia="Times New Roman" w:hAnsi="Times New Roman" w:cs="Times New Roman"/>
          <w:b/>
          <w:bCs/>
          <w:sz w:val="24"/>
          <w:szCs w:val="24"/>
          <w:lang w:eastAsia="ru-RU"/>
        </w:rPr>
        <w:t>/Б/</w:t>
      </w:r>
      <w:r w:rsidR="005D1AD5">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02C246FA" w14:textId="7229A688" w:rsidR="005D1AD5" w:rsidRDefault="00D61700" w:rsidP="005D1AD5">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D543CA" w:rsidRPr="00D543CA">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4621457" w14:textId="22E3EADA"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5D1AD5">
        <w:rPr>
          <w:rFonts w:ascii="Times New Roman" w:eastAsia="Times New Roman" w:hAnsi="Times New Roman" w:cs="Times New Roman"/>
          <w:b/>
          <w:bCs/>
          <w:sz w:val="24"/>
          <w:szCs w:val="24"/>
          <w:lang w:eastAsia="ru-RU"/>
        </w:rPr>
        <w:t>з</w:t>
      </w:r>
      <w:r w:rsidR="005D1AD5" w:rsidRPr="005D1AD5">
        <w:rPr>
          <w:rFonts w:ascii="Times New Roman" w:eastAsia="Times New Roman" w:hAnsi="Times New Roman" w:cs="Times New Roman"/>
          <w:b/>
          <w:bCs/>
          <w:sz w:val="24"/>
          <w:szCs w:val="24"/>
          <w:lang w:eastAsia="ru-RU"/>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1671FF5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1D42D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6</w:t>
      </w:r>
      <w:r w:rsidRPr="00745B20">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471F83BE" w:rsidR="00AF0CD0" w:rsidRPr="007505AD"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7505AD" w:rsidRPr="007505AD">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1CB449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D543CA" w:rsidRPr="00D543CA">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543CA">
        <w:rPr>
          <w:rFonts w:ascii="Times New Roman" w:hAnsi="Times New Roman"/>
          <w:bCs/>
          <w:sz w:val="24"/>
        </w:rPr>
        <w:t>.</w:t>
      </w:r>
    </w:p>
    <w:p w14:paraId="7D0C9237" w14:textId="41D1DA8C"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5D1AD5">
        <w:rPr>
          <w:rFonts w:ascii="Times New Roman" w:eastAsia="Calibri" w:hAnsi="Times New Roman" w:cs="Times New Roman"/>
          <w:bCs/>
          <w:color w:val="000000"/>
          <w:sz w:val="24"/>
          <w:szCs w:val="24"/>
        </w:rPr>
        <w:t>з</w:t>
      </w:r>
      <w:r w:rsidR="005D1AD5" w:rsidRPr="005D1AD5">
        <w:rPr>
          <w:rFonts w:ascii="Times New Roman" w:eastAsia="Calibri" w:hAnsi="Times New Roman" w:cs="Times New Roman"/>
          <w:bCs/>
          <w:color w:val="000000"/>
          <w:sz w:val="24"/>
          <w:szCs w:val="24"/>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5D1AD5">
        <w:rPr>
          <w:rFonts w:ascii="Times New Roman" w:eastAsia="Calibri" w:hAnsi="Times New Roman" w:cs="Times New Roman"/>
          <w:bCs/>
          <w:color w:val="000000"/>
          <w:sz w:val="24"/>
          <w:szCs w:val="24"/>
        </w:rPr>
        <w:t>.</w:t>
      </w:r>
    </w:p>
    <w:p w14:paraId="27C790C6" w14:textId="074A958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86620F">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86620F">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6F40CA">
        <w:rPr>
          <w:rFonts w:ascii="Times New Roman" w:eastAsia="Calibri" w:hAnsi="Times New Roman" w:cs="Times New Roman"/>
          <w:color w:val="000000"/>
          <w:sz w:val="24"/>
          <w:szCs w:val="24"/>
        </w:rPr>
        <w:t>89</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00D543CA" w:rsidRPr="00D543CA">
        <w:rPr>
          <w:rFonts w:ascii="Times New Roman" w:eastAsia="Times New Roman" w:hAnsi="Times New Roman" w:cs="Times New Roman"/>
          <w:bCs/>
          <w:sz w:val="24"/>
          <w:szCs w:val="24"/>
          <w:lang w:eastAsia="ru-RU"/>
        </w:rPr>
        <w:t>.</w:t>
      </w:r>
    </w:p>
    <w:p w14:paraId="2E09B70D" w14:textId="4A9ED8F1"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bookmarkStart w:id="0" w:name="_Hlk535413710"/>
      <w:r w:rsidR="006F40CA" w:rsidRPr="006F40CA">
        <w:rPr>
          <w:rFonts w:ascii="Times New Roman" w:hAnsi="Times New Roman"/>
          <w:bCs/>
          <w:sz w:val="24"/>
        </w:rPr>
        <w:t>057270000011800309</w:t>
      </w:r>
      <w:bookmarkEnd w:id="0"/>
      <w:r w:rsidR="00D543CA">
        <w:rPr>
          <w:rFonts w:ascii="Times New Roman" w:eastAsia="Calibri" w:hAnsi="Times New Roman" w:cs="Times New Roman"/>
          <w:color w:val="000000"/>
          <w:sz w:val="24"/>
          <w:szCs w:val="24"/>
        </w:rPr>
        <w:t>.</w:t>
      </w:r>
    </w:p>
    <w:p w14:paraId="45C02D43" w14:textId="42AF18C3"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D543CA">
        <w:rPr>
          <w:rFonts w:ascii="Times New Roman" w:eastAsia="Times New Roman" w:hAnsi="Times New Roman" w:cs="Times New Roman"/>
          <w:sz w:val="24"/>
          <w:szCs w:val="24"/>
          <w:lang w:eastAsia="ru-RU"/>
        </w:rPr>
        <w:t>1</w:t>
      </w:r>
      <w:r w:rsidR="0086620F">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час. </w:t>
      </w:r>
      <w:r w:rsidR="006F40CA">
        <w:rPr>
          <w:rFonts w:ascii="Times New Roman" w:eastAsia="Times New Roman" w:hAnsi="Times New Roman" w:cs="Times New Roman"/>
          <w:sz w:val="24"/>
          <w:szCs w:val="24"/>
          <w:lang w:eastAsia="ru-RU"/>
        </w:rPr>
        <w:t>2</w:t>
      </w:r>
      <w:r w:rsidR="00D543CA">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7D57646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1D42DB">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 xml:space="preserve"> </w:t>
      </w:r>
      <w:r w:rsidR="006F40CA" w:rsidRPr="009E2716">
        <w:rPr>
          <w:rFonts w:ascii="Times New Roman" w:hAnsi="Times New Roman"/>
          <w:bCs/>
          <w:sz w:val="24"/>
        </w:rPr>
        <w:t>3 069 836,40 руб. (Три миллиона шестьдесят девять тысяч восемьсот тридцать шесть рублей 40 копеек).</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238"/>
        <w:gridCol w:w="477"/>
        <w:gridCol w:w="2234"/>
        <w:gridCol w:w="1351"/>
        <w:gridCol w:w="1869"/>
        <w:gridCol w:w="1683"/>
      </w:tblGrid>
      <w:tr w:rsidR="006F40CA" w:rsidRPr="006F40CA" w14:paraId="7D85DBF7" w14:textId="77777777" w:rsidTr="006F40CA">
        <w:trPr>
          <w:cantSplit/>
          <w:trHeight w:val="1134"/>
        </w:trPr>
        <w:tc>
          <w:tcPr>
            <w:tcW w:w="245" w:type="pct"/>
          </w:tcPr>
          <w:p w14:paraId="7D806F31"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 п/п</w:t>
            </w:r>
          </w:p>
        </w:tc>
        <w:tc>
          <w:tcPr>
            <w:tcW w:w="617" w:type="pct"/>
          </w:tcPr>
          <w:p w14:paraId="4336A331"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Адрес объекта</w:t>
            </w:r>
          </w:p>
        </w:tc>
        <w:tc>
          <w:tcPr>
            <w:tcW w:w="227" w:type="pct"/>
            <w:textDirection w:val="btLr"/>
          </w:tcPr>
          <w:p w14:paraId="221F6C8A" w14:textId="77777777" w:rsidR="006F40CA" w:rsidRPr="006F40CA" w:rsidRDefault="006F40CA" w:rsidP="006F40CA">
            <w:pPr>
              <w:spacing w:after="0"/>
              <w:ind w:left="113" w:right="113"/>
              <w:jc w:val="center"/>
              <w:rPr>
                <w:sz w:val="20"/>
                <w:szCs w:val="20"/>
              </w:rPr>
            </w:pPr>
            <w:r w:rsidRPr="006F40CA">
              <w:rPr>
                <w:rFonts w:ascii="Times New Roman" w:eastAsia="Times New Roman" w:hAnsi="Times New Roman" w:cs="Times New Roman"/>
                <w:b/>
                <w:sz w:val="20"/>
                <w:szCs w:val="20"/>
              </w:rPr>
              <w:t>Район</w:t>
            </w:r>
          </w:p>
        </w:tc>
        <w:tc>
          <w:tcPr>
            <w:tcW w:w="1386" w:type="pct"/>
          </w:tcPr>
          <w:p w14:paraId="2A93A687"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Вид работ (услуг), выполняемых на объекте</w:t>
            </w:r>
          </w:p>
        </w:tc>
        <w:tc>
          <w:tcPr>
            <w:tcW w:w="723" w:type="pct"/>
          </w:tcPr>
          <w:p w14:paraId="7D684BF3"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Сметная стоимость выполнения отдельных видов работ, руб.</w:t>
            </w:r>
          </w:p>
        </w:tc>
        <w:tc>
          <w:tcPr>
            <w:tcW w:w="950" w:type="pct"/>
          </w:tcPr>
          <w:p w14:paraId="2536B159"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Общая стоимость работ в многоквартирном доме, руб.</w:t>
            </w:r>
          </w:p>
        </w:tc>
        <w:tc>
          <w:tcPr>
            <w:tcW w:w="853" w:type="pct"/>
          </w:tcPr>
          <w:p w14:paraId="3E3E77C7"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b/>
                <w:sz w:val="20"/>
                <w:szCs w:val="20"/>
              </w:rPr>
              <w:t xml:space="preserve">Начальная (максимальная) цена договора, руб. </w:t>
            </w:r>
          </w:p>
        </w:tc>
      </w:tr>
      <w:tr w:rsidR="006F40CA" w:rsidRPr="006F40CA" w14:paraId="201AE817" w14:textId="77777777" w:rsidTr="006F40CA">
        <w:trPr>
          <w:cantSplit/>
          <w:trHeight w:val="5431"/>
        </w:trPr>
        <w:tc>
          <w:tcPr>
            <w:tcW w:w="245" w:type="pct"/>
            <w:vAlign w:val="center"/>
          </w:tcPr>
          <w:p w14:paraId="1354884C"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lastRenderedPageBreak/>
              <w:t>1</w:t>
            </w:r>
          </w:p>
        </w:tc>
        <w:tc>
          <w:tcPr>
            <w:tcW w:w="617" w:type="pct"/>
            <w:vAlign w:val="center"/>
          </w:tcPr>
          <w:p w14:paraId="2CFD7EF0"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Загородный пр., д.28 литера Б</w:t>
            </w:r>
          </w:p>
        </w:tc>
        <w:tc>
          <w:tcPr>
            <w:tcW w:w="227" w:type="pct"/>
            <w:textDirection w:val="btLr"/>
            <w:vAlign w:val="center"/>
          </w:tcPr>
          <w:p w14:paraId="13FB80ED" w14:textId="77777777" w:rsidR="006F40CA" w:rsidRPr="006F40CA" w:rsidRDefault="006F40CA" w:rsidP="006F40CA">
            <w:pPr>
              <w:spacing w:after="0"/>
              <w:ind w:left="113" w:right="113"/>
              <w:jc w:val="center"/>
              <w:rPr>
                <w:sz w:val="20"/>
                <w:szCs w:val="20"/>
              </w:rPr>
            </w:pPr>
            <w:r w:rsidRPr="006F40CA">
              <w:rPr>
                <w:rFonts w:ascii="Times New Roman" w:eastAsia="Times New Roman" w:hAnsi="Times New Roman" w:cs="Times New Roman"/>
                <w:sz w:val="20"/>
                <w:szCs w:val="20"/>
              </w:rPr>
              <w:t xml:space="preserve">Центральный </w:t>
            </w:r>
          </w:p>
        </w:tc>
        <w:tc>
          <w:tcPr>
            <w:tcW w:w="1386" w:type="pct"/>
            <w:vAlign w:val="center"/>
          </w:tcPr>
          <w:p w14:paraId="328DBF5E"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723" w:type="pct"/>
            <w:vAlign w:val="center"/>
          </w:tcPr>
          <w:p w14:paraId="02F346A1"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3 069 836,40</w:t>
            </w:r>
          </w:p>
        </w:tc>
        <w:tc>
          <w:tcPr>
            <w:tcW w:w="950" w:type="pct"/>
            <w:vAlign w:val="center"/>
          </w:tcPr>
          <w:p w14:paraId="49E93AEC"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3 069 836,40</w:t>
            </w:r>
          </w:p>
        </w:tc>
        <w:tc>
          <w:tcPr>
            <w:tcW w:w="853" w:type="pct"/>
            <w:vAlign w:val="center"/>
          </w:tcPr>
          <w:p w14:paraId="13863E90"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3 069 836,40</w:t>
            </w:r>
          </w:p>
        </w:tc>
      </w:tr>
      <w:tr w:rsidR="006F40CA" w:rsidRPr="006F40CA" w14:paraId="029907B8" w14:textId="77777777" w:rsidTr="006F40CA">
        <w:trPr>
          <w:trHeight w:val="141"/>
        </w:trPr>
        <w:tc>
          <w:tcPr>
            <w:tcW w:w="4147" w:type="pct"/>
            <w:gridSpan w:val="6"/>
            <w:vAlign w:val="center"/>
          </w:tcPr>
          <w:p w14:paraId="434682A9"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ИТОГО</w:t>
            </w:r>
          </w:p>
        </w:tc>
        <w:tc>
          <w:tcPr>
            <w:tcW w:w="853" w:type="pct"/>
            <w:vAlign w:val="center"/>
          </w:tcPr>
          <w:p w14:paraId="030F721A" w14:textId="77777777" w:rsidR="006F40CA" w:rsidRPr="006F40CA" w:rsidRDefault="006F40CA" w:rsidP="006F40CA">
            <w:pPr>
              <w:spacing w:after="0"/>
              <w:jc w:val="center"/>
              <w:rPr>
                <w:sz w:val="20"/>
                <w:szCs w:val="20"/>
              </w:rPr>
            </w:pPr>
            <w:r w:rsidRPr="006F40CA">
              <w:rPr>
                <w:rFonts w:ascii="Times New Roman" w:eastAsia="Times New Roman" w:hAnsi="Times New Roman" w:cs="Times New Roman"/>
                <w:sz w:val="20"/>
                <w:szCs w:val="20"/>
              </w:rPr>
              <w:t>3 069 836,40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D543CA" w:rsidRPr="00073FFB" w14:paraId="4F867B7D" w14:textId="77777777" w:rsidTr="005A2036">
        <w:tc>
          <w:tcPr>
            <w:tcW w:w="816" w:type="dxa"/>
            <w:tcBorders>
              <w:top w:val="single" w:sz="4" w:space="0" w:color="000000"/>
              <w:left w:val="single" w:sz="4" w:space="0" w:color="000000"/>
              <w:bottom w:val="single" w:sz="4" w:space="0" w:color="000000"/>
              <w:right w:val="single" w:sz="4" w:space="0" w:color="000000"/>
            </w:tcBorders>
            <w:hideMark/>
          </w:tcPr>
          <w:p w14:paraId="63E0E5A7" w14:textId="77777777" w:rsidR="00D543CA" w:rsidRPr="00073FFB" w:rsidRDefault="00D543CA" w:rsidP="005A203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5D7206B" w14:textId="77777777" w:rsidR="00D543CA" w:rsidRPr="00073FFB" w:rsidRDefault="00D543CA" w:rsidP="005A203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9038029"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465896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D543CA" w:rsidRPr="00073FFB" w14:paraId="7A32E6BF" w14:textId="77777777" w:rsidTr="005A203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753C524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62CA4BD"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9B8BC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F2E06A3"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Советник генерального директора</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3C182D8"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1C553F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1729C3FD" w14:textId="77777777" w:rsidTr="005A2036">
        <w:trPr>
          <w:trHeight w:val="779"/>
        </w:trPr>
        <w:tc>
          <w:tcPr>
            <w:tcW w:w="816" w:type="dxa"/>
            <w:tcBorders>
              <w:top w:val="single" w:sz="4" w:space="0" w:color="000000"/>
              <w:left w:val="single" w:sz="4" w:space="0" w:color="000000"/>
              <w:bottom w:val="single" w:sz="4" w:space="0" w:color="000000"/>
              <w:right w:val="single" w:sz="4" w:space="0" w:color="000000"/>
            </w:tcBorders>
            <w:hideMark/>
          </w:tcPr>
          <w:p w14:paraId="0DCB1A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3B84D06"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106FB1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2802F309"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Начальник отдела организации и проведения торгов</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26369"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C1C5D0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4B65B91B" w14:textId="77777777" w:rsidTr="005A2036">
        <w:trPr>
          <w:trHeight w:val="525"/>
        </w:trPr>
        <w:tc>
          <w:tcPr>
            <w:tcW w:w="816" w:type="dxa"/>
            <w:tcBorders>
              <w:top w:val="single" w:sz="4" w:space="0" w:color="000000"/>
              <w:left w:val="single" w:sz="4" w:space="0" w:color="000000"/>
              <w:bottom w:val="single" w:sz="4" w:space="0" w:color="000000"/>
              <w:right w:val="single" w:sz="4" w:space="0" w:color="000000"/>
            </w:tcBorders>
            <w:hideMark/>
          </w:tcPr>
          <w:p w14:paraId="385090D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05D21A7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84F340E"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18CE696"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576D8BD"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4C328339" w14:textId="77777777" w:rsidTr="005A2036">
        <w:trPr>
          <w:trHeight w:val="549"/>
        </w:trPr>
        <w:tc>
          <w:tcPr>
            <w:tcW w:w="816" w:type="dxa"/>
            <w:tcBorders>
              <w:top w:val="single" w:sz="4" w:space="0" w:color="000000"/>
              <w:left w:val="single" w:sz="4" w:space="0" w:color="000000"/>
              <w:bottom w:val="single" w:sz="4" w:space="0" w:color="000000"/>
              <w:right w:val="single" w:sz="4" w:space="0" w:color="000000"/>
            </w:tcBorders>
          </w:tcPr>
          <w:p w14:paraId="187B109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4438F54E"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582799DC"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24675AD"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41D1EC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5CA9CB1B" w14:textId="77777777" w:rsidTr="005A2036">
        <w:trPr>
          <w:trHeight w:val="557"/>
        </w:trPr>
        <w:tc>
          <w:tcPr>
            <w:tcW w:w="816" w:type="dxa"/>
            <w:tcBorders>
              <w:top w:val="single" w:sz="4" w:space="0" w:color="000000"/>
              <w:left w:val="single" w:sz="4" w:space="0" w:color="000000"/>
              <w:bottom w:val="single" w:sz="4" w:space="0" w:color="000000"/>
              <w:right w:val="single" w:sz="4" w:space="0" w:color="000000"/>
            </w:tcBorders>
          </w:tcPr>
          <w:p w14:paraId="48E104C3"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7B808B9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0D794A5A"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1260E47"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BFE7A6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6557F778" w14:textId="77777777" w:rsidTr="005A2036">
        <w:trPr>
          <w:trHeight w:val="564"/>
        </w:trPr>
        <w:tc>
          <w:tcPr>
            <w:tcW w:w="816" w:type="dxa"/>
            <w:tcBorders>
              <w:top w:val="single" w:sz="4" w:space="0" w:color="000000"/>
              <w:left w:val="single" w:sz="4" w:space="0" w:color="000000"/>
              <w:bottom w:val="single" w:sz="4" w:space="0" w:color="000000"/>
              <w:right w:val="single" w:sz="4" w:space="0" w:color="000000"/>
            </w:tcBorders>
          </w:tcPr>
          <w:p w14:paraId="78E1B76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0646558C"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34C8F09"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B18286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8D3EDD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D543CA" w:rsidRPr="00073FFB" w14:paraId="15F6D02D" w14:textId="77777777" w:rsidTr="005A2036">
        <w:trPr>
          <w:trHeight w:val="531"/>
        </w:trPr>
        <w:tc>
          <w:tcPr>
            <w:tcW w:w="816" w:type="dxa"/>
            <w:tcBorders>
              <w:top w:val="single" w:sz="4" w:space="0" w:color="000000"/>
              <w:left w:val="single" w:sz="4" w:space="0" w:color="000000"/>
              <w:bottom w:val="single" w:sz="4" w:space="0" w:color="000000"/>
              <w:right w:val="single" w:sz="4" w:space="0" w:color="000000"/>
            </w:tcBorders>
          </w:tcPr>
          <w:p w14:paraId="7ABD906E"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555AC3FF"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161DE72E"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A8583"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420B61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D543CA" w:rsidRPr="00073FFB" w14:paraId="52BE033C"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389D01D3"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7A5BCD52"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EE0C28B" w14:textId="279D77D1" w:rsidR="00D543CA" w:rsidRPr="00073FFB" w:rsidRDefault="00D543CA" w:rsidP="005A203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6F40CA">
              <w:rPr>
                <w:rFonts w:ascii="Times New Roman" w:hAnsi="Times New Roman" w:cs="Times New Roman"/>
                <w:sz w:val="24"/>
                <w:szCs w:val="24"/>
              </w:rPr>
              <w:t>Центрального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7F941CCB"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02190D4"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3CAAB8A0"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5E8EF621"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D8527F5"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85A9EEB"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Уполномоченный представитель общественного совета по вопросам </w:t>
            </w:r>
            <w:r w:rsidRPr="00073FFB">
              <w:rPr>
                <w:rFonts w:ascii="Times New Roman" w:hAnsi="Times New Roman"/>
                <w:color w:val="000000"/>
                <w:sz w:val="24"/>
                <w:szCs w:val="24"/>
              </w:rPr>
              <w:lastRenderedPageBreak/>
              <w:t>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778F910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9BCD7AC"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7B330DFD"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7C79B57A" w14:textId="25869E64" w:rsidR="00D543CA"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643403FA"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3A8974FF"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Pr>
                <w:rFonts w:ascii="Times New Roman" w:eastAsia="Droid Sans" w:hAnsi="Times New Roman" w:cs="Times New Roman"/>
                <w:kern w:val="2"/>
                <w:sz w:val="24"/>
                <w:szCs w:val="24"/>
                <w:lang w:eastAsia="zh-CN" w:bidi="hi-IN"/>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465A390C"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E4B561B" w14:textId="12E25B59"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 xml:space="preserve">Л.К. </w:t>
      </w:r>
      <w:proofErr w:type="spellStart"/>
      <w:r w:rsidRPr="00C06868">
        <w:rPr>
          <w:rFonts w:ascii="Times New Roman" w:eastAsia="Calibri" w:hAnsi="Times New Roman" w:cs="Times New Roman"/>
          <w:sz w:val="24"/>
          <w:szCs w:val="24"/>
        </w:rPr>
        <w:t>Самойлюк</w:t>
      </w:r>
      <w:proofErr w:type="spellEnd"/>
      <w:r w:rsidRPr="00C06868">
        <w:rPr>
          <w:rFonts w:ascii="Times New Roman" w:eastAsia="Calibri" w:hAnsi="Times New Roman" w:cs="Times New Roman"/>
          <w:sz w:val="24"/>
          <w:szCs w:val="24"/>
        </w:rPr>
        <w:t xml:space="preserve">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402B785B"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D543CA">
        <w:rPr>
          <w:rFonts w:ascii="Times New Roman" w:eastAsia="Calibri" w:hAnsi="Times New Roman" w:cs="Times New Roman"/>
          <w:color w:val="000000"/>
          <w:sz w:val="24"/>
          <w:szCs w:val="24"/>
        </w:rPr>
        <w:t>5</w:t>
      </w:r>
    </w:p>
    <w:p w14:paraId="47256991" w14:textId="64E5BDB6"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543CA">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61FFC1B"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86620F">
        <w:rPr>
          <w:rFonts w:ascii="Times New Roman" w:eastAsia="Calibri" w:hAnsi="Times New Roman" w:cs="Times New Roman"/>
          <w:color w:val="000000"/>
          <w:sz w:val="24"/>
          <w:szCs w:val="24"/>
        </w:rPr>
        <w:t>27</w:t>
      </w:r>
      <w:r w:rsidR="004E6D2E"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86620F">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6F40CA">
        <w:rPr>
          <w:rFonts w:ascii="Times New Roman" w:eastAsia="Calibri" w:hAnsi="Times New Roman" w:cs="Times New Roman"/>
          <w:color w:val="000000"/>
          <w:sz w:val="24"/>
          <w:szCs w:val="24"/>
        </w:rPr>
        <w:t>89</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5AEF955D"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D543CA">
        <w:rPr>
          <w:rFonts w:ascii="Times New Roman" w:eastAsia="Times New Roman" w:hAnsi="Times New Roman" w:cs="Times New Roman"/>
          <w:sz w:val="24"/>
          <w:szCs w:val="24"/>
          <w:lang w:eastAsia="ru-RU"/>
        </w:rPr>
        <w:t>1</w:t>
      </w:r>
      <w:r w:rsidR="0086620F">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час. </w:t>
      </w:r>
      <w:r w:rsidR="006F40CA">
        <w:rPr>
          <w:rFonts w:ascii="Times New Roman" w:eastAsia="Times New Roman" w:hAnsi="Times New Roman" w:cs="Times New Roman"/>
          <w:sz w:val="24"/>
          <w:szCs w:val="24"/>
          <w:lang w:eastAsia="ru-RU"/>
        </w:rPr>
        <w:t>2</w:t>
      </w:r>
      <w:r w:rsidR="00D543CA">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86620F">
        <w:rPr>
          <w:rFonts w:ascii="Times New Roman" w:eastAsia="Times New Roman" w:hAnsi="Times New Roman" w:cs="Times New Roman"/>
          <w:sz w:val="24"/>
          <w:szCs w:val="24"/>
          <w:lang w:eastAsia="ru-RU"/>
        </w:rPr>
        <w:t>11</w:t>
      </w:r>
      <w:r w:rsidRPr="00360230">
        <w:rPr>
          <w:rFonts w:ascii="Times New Roman" w:eastAsia="Times New Roman" w:hAnsi="Times New Roman" w:cs="Times New Roman"/>
          <w:sz w:val="24"/>
          <w:szCs w:val="24"/>
          <w:lang w:eastAsia="ru-RU"/>
        </w:rPr>
        <w:t>.</w:t>
      </w:r>
      <w:r w:rsidR="005D1AD5">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5D1AD5">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D543CA">
        <w:trPr>
          <w:cantSplit/>
          <w:trHeight w:val="1134"/>
        </w:trPr>
        <w:tc>
          <w:tcPr>
            <w:tcW w:w="993" w:type="dxa"/>
            <w:shd w:val="clear" w:color="auto" w:fill="auto"/>
            <w:textDirection w:val="btLr"/>
            <w:vAlign w:val="center"/>
          </w:tcPr>
          <w:p w14:paraId="6E6DFB3E" w14:textId="77777777" w:rsidR="005E6471" w:rsidRPr="00360230" w:rsidRDefault="005E6471" w:rsidP="00D543CA">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lastRenderedPageBreak/>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68CB3E" w:rsidR="005E6471" w:rsidRPr="00360230" w:rsidRDefault="00D543CA"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52EAAD5F" w14:textId="77777777" w:rsidR="006F40CA" w:rsidRDefault="006F40CA" w:rsidP="006F40CA">
            <w:pPr>
              <w:spacing w:after="0" w:line="240" w:lineRule="auto"/>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Общество с ограниченной ответственностью</w:t>
            </w:r>
          </w:p>
          <w:p w14:paraId="6DFB61AD" w14:textId="28FB7CAC" w:rsidR="005E6471" w:rsidRPr="00360230" w:rsidRDefault="006F40CA" w:rsidP="006F40CA">
            <w:pPr>
              <w:spacing w:after="0" w:line="240" w:lineRule="auto"/>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"СМУ-31"</w:t>
            </w:r>
          </w:p>
        </w:tc>
        <w:tc>
          <w:tcPr>
            <w:tcW w:w="2347" w:type="dxa"/>
            <w:vAlign w:val="center"/>
          </w:tcPr>
          <w:p w14:paraId="49253BF7" w14:textId="51A44B94" w:rsidR="005E6471" w:rsidRPr="00360230" w:rsidRDefault="006F40CA" w:rsidP="005E6471">
            <w:pPr>
              <w:spacing w:after="0" w:line="240" w:lineRule="auto"/>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195220, г. Санкт-Петербург, Верности ул., 7 корпус 2, 7-812-5962800, smu31smu@mail.ru</w:t>
            </w:r>
          </w:p>
        </w:tc>
        <w:tc>
          <w:tcPr>
            <w:tcW w:w="1985" w:type="dxa"/>
            <w:shd w:val="clear" w:color="auto" w:fill="auto"/>
            <w:vAlign w:val="center"/>
          </w:tcPr>
          <w:p w14:paraId="5FDF2BC6" w14:textId="36E6DD90" w:rsidR="005E6471" w:rsidRPr="00360230" w:rsidRDefault="006F40CA" w:rsidP="005E6471">
            <w:pPr>
              <w:spacing w:after="0" w:line="240" w:lineRule="auto"/>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7804415512</w:t>
            </w:r>
          </w:p>
        </w:tc>
        <w:tc>
          <w:tcPr>
            <w:tcW w:w="2551" w:type="dxa"/>
          </w:tcPr>
          <w:p w14:paraId="7FA34B9A" w14:textId="55BD55F4"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974DBA" w14:textId="49FA9730" w:rsidR="00D543CA" w:rsidRPr="00360230" w:rsidRDefault="00D543CA"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5D1AD5" w:rsidRPr="00745B20" w14:paraId="59EB8C21" w14:textId="77777777" w:rsidTr="00D543CA">
        <w:tc>
          <w:tcPr>
            <w:tcW w:w="2045" w:type="dxa"/>
            <w:shd w:val="clear" w:color="auto" w:fill="auto"/>
            <w:vAlign w:val="center"/>
          </w:tcPr>
          <w:p w14:paraId="6DBA9EFD" w14:textId="1A92A139" w:rsidR="005D1AD5" w:rsidRPr="00745B20" w:rsidRDefault="005D1AD5" w:rsidP="005D1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4FF7D241" w14:textId="77777777" w:rsidR="006F40CA" w:rsidRDefault="006F40CA" w:rsidP="005D1AD5">
            <w:pPr>
              <w:spacing w:after="0" w:line="240" w:lineRule="auto"/>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Общество с ограниченной ответственностью</w:t>
            </w:r>
            <w:r>
              <w:rPr>
                <w:rFonts w:ascii="Times New Roman" w:eastAsia="Times New Roman" w:hAnsi="Times New Roman" w:cs="Times New Roman"/>
                <w:lang w:eastAsia="ru-RU"/>
              </w:rPr>
              <w:t xml:space="preserve"> </w:t>
            </w:r>
          </w:p>
          <w:p w14:paraId="2B7245C6" w14:textId="645FF2F0" w:rsidR="005D1AD5" w:rsidRPr="00745B20" w:rsidRDefault="006F40CA" w:rsidP="005D1AD5">
            <w:pPr>
              <w:spacing w:after="0" w:line="240" w:lineRule="auto"/>
              <w:jc w:val="center"/>
              <w:rPr>
                <w:rFonts w:ascii="Arial" w:eastAsia="Times New Roman" w:hAnsi="Arial" w:cs="Arial"/>
                <w:sz w:val="24"/>
                <w:szCs w:val="24"/>
                <w:lang w:eastAsia="ru-RU"/>
              </w:rPr>
            </w:pPr>
            <w:r w:rsidRPr="006F40CA">
              <w:rPr>
                <w:rFonts w:ascii="Times New Roman" w:eastAsia="Times New Roman" w:hAnsi="Times New Roman" w:cs="Times New Roman"/>
                <w:lang w:eastAsia="ru-RU"/>
              </w:rPr>
              <w:t>"СМУ-31"</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0E9BD491"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2" w:name="_Hlk494192817"/>
      <w:r w:rsidR="00262390">
        <w:rPr>
          <w:rFonts w:ascii="Times New Roman" w:hAnsi="Times New Roman" w:cs="Times New Roman"/>
          <w:sz w:val="24"/>
          <w:szCs w:val="24"/>
        </w:rPr>
        <w:t xml:space="preserve">подавшего единственную заявку </w:t>
      </w:r>
      <w:bookmarkEnd w:id="2"/>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D543CA" w14:paraId="1E7DE861" w14:textId="77777777" w:rsidTr="00D543CA">
        <w:tc>
          <w:tcPr>
            <w:tcW w:w="2074" w:type="dxa"/>
            <w:shd w:val="clear" w:color="auto" w:fill="auto"/>
            <w:vAlign w:val="center"/>
          </w:tcPr>
          <w:p w14:paraId="686DD272" w14:textId="77777777" w:rsidR="00600278" w:rsidRPr="00D543CA" w:rsidRDefault="00600278" w:rsidP="00D543CA">
            <w:pPr>
              <w:pStyle w:val="ConsPlusNormal"/>
              <w:ind w:firstLine="29"/>
              <w:jc w:val="center"/>
              <w:rPr>
                <w:rFonts w:ascii="Times New Roman" w:hAnsi="Times New Roman" w:cs="Times New Roman"/>
                <w:sz w:val="22"/>
                <w:szCs w:val="22"/>
              </w:rPr>
            </w:pPr>
            <w:r w:rsidRPr="00D543CA">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D543CA" w:rsidRDefault="00600278" w:rsidP="00D543CA">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D543CA" w:rsidRDefault="00600278" w:rsidP="001D42DB">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ИНН</w:t>
            </w:r>
          </w:p>
        </w:tc>
      </w:tr>
      <w:tr w:rsidR="005D1AD5" w:rsidRPr="00D543CA" w14:paraId="3DC6E934" w14:textId="77777777" w:rsidTr="00D543CA">
        <w:tc>
          <w:tcPr>
            <w:tcW w:w="2074" w:type="dxa"/>
            <w:shd w:val="clear" w:color="auto" w:fill="auto"/>
            <w:vAlign w:val="center"/>
          </w:tcPr>
          <w:p w14:paraId="5F4895B9" w14:textId="356D6D27" w:rsidR="005D1AD5" w:rsidRPr="001D42DB" w:rsidRDefault="005D1AD5" w:rsidP="005D1AD5">
            <w:pPr>
              <w:pStyle w:val="ConsPlusNormal"/>
              <w:jc w:val="center"/>
              <w:rPr>
                <w:rFonts w:ascii="Times New Roman" w:hAnsi="Times New Roman" w:cs="Times New Roman"/>
                <w:sz w:val="22"/>
                <w:szCs w:val="22"/>
              </w:rPr>
            </w:pPr>
            <w:r>
              <w:rPr>
                <w:rFonts w:ascii="Times New Roman" w:eastAsia="Times New Roman" w:hAnsi="Times New Roman" w:cs="Times New Roman"/>
                <w:lang w:eastAsia="ru-RU"/>
              </w:rPr>
              <w:t>1</w:t>
            </w:r>
          </w:p>
        </w:tc>
        <w:tc>
          <w:tcPr>
            <w:tcW w:w="5060" w:type="dxa"/>
            <w:shd w:val="clear" w:color="auto" w:fill="auto"/>
            <w:vAlign w:val="center"/>
          </w:tcPr>
          <w:p w14:paraId="788F0E24" w14:textId="77777777" w:rsidR="006F40CA" w:rsidRDefault="006F40CA" w:rsidP="005D1AD5">
            <w:pPr>
              <w:pStyle w:val="ConsPlusNormal"/>
              <w:jc w:val="center"/>
              <w:rPr>
                <w:rFonts w:ascii="Times New Roman" w:eastAsia="Times New Roman" w:hAnsi="Times New Roman" w:cs="Times New Roman"/>
                <w:lang w:eastAsia="ru-RU"/>
              </w:rPr>
            </w:pPr>
            <w:r w:rsidRPr="006F40CA">
              <w:rPr>
                <w:rFonts w:ascii="Times New Roman" w:eastAsia="Times New Roman" w:hAnsi="Times New Roman" w:cs="Times New Roman"/>
                <w:lang w:eastAsia="ru-RU"/>
              </w:rPr>
              <w:t>Общество с ограниченной ответственностью </w:t>
            </w:r>
          </w:p>
          <w:p w14:paraId="7EA4B4CB" w14:textId="2E2FBDBF" w:rsidR="005D1AD5" w:rsidRPr="001D42DB" w:rsidRDefault="006F40CA" w:rsidP="005D1AD5">
            <w:pPr>
              <w:pStyle w:val="ConsPlusNormal"/>
              <w:jc w:val="center"/>
              <w:rPr>
                <w:rFonts w:ascii="Times New Roman" w:hAnsi="Times New Roman" w:cs="Times New Roman"/>
                <w:sz w:val="22"/>
                <w:szCs w:val="22"/>
              </w:rPr>
            </w:pPr>
            <w:r w:rsidRPr="006F40CA">
              <w:rPr>
                <w:rFonts w:ascii="Times New Roman" w:eastAsia="Times New Roman" w:hAnsi="Times New Roman" w:cs="Times New Roman"/>
                <w:lang w:eastAsia="ru-RU"/>
              </w:rPr>
              <w:t>"СМУ-31"</w:t>
            </w:r>
          </w:p>
        </w:tc>
        <w:tc>
          <w:tcPr>
            <w:tcW w:w="2222" w:type="dxa"/>
            <w:shd w:val="clear" w:color="auto" w:fill="auto"/>
            <w:vAlign w:val="center"/>
          </w:tcPr>
          <w:p w14:paraId="0FB8C0BE" w14:textId="17DBEFDD" w:rsidR="005D1AD5" w:rsidRPr="001D42DB" w:rsidRDefault="006F40CA" w:rsidP="005D1AD5">
            <w:pPr>
              <w:pStyle w:val="ConsPlusNormal"/>
              <w:jc w:val="center"/>
              <w:rPr>
                <w:rFonts w:ascii="Times New Roman" w:hAnsi="Times New Roman" w:cs="Times New Roman"/>
                <w:sz w:val="22"/>
                <w:szCs w:val="22"/>
              </w:rPr>
            </w:pPr>
            <w:r w:rsidRPr="006F40CA">
              <w:rPr>
                <w:rFonts w:ascii="Times New Roman" w:hAnsi="Times New Roman" w:cs="Times New Roman"/>
                <w:sz w:val="22"/>
                <w:szCs w:val="22"/>
              </w:rPr>
              <w:t>7804415512</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08718638"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3" w:name="_Hlk494190424"/>
      <w:r w:rsidRPr="00E94B8A">
        <w:rPr>
          <w:rFonts w:ascii="Times New Roman" w:hAnsi="Times New Roman" w:cs="Times New Roman"/>
          <w:sz w:val="24"/>
          <w:szCs w:val="24"/>
        </w:rPr>
        <w:t>«за» - единогласно</w:t>
      </w:r>
      <w:bookmarkEnd w:id="3"/>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3D55EB2C" w14:textId="5FDC3C36" w:rsidR="001F64C5" w:rsidRPr="005D1AD5" w:rsidRDefault="00360230" w:rsidP="005D1AD5">
      <w:pPr>
        <w:pStyle w:val="ConsPlusNormal"/>
        <w:numPr>
          <w:ilvl w:val="1"/>
          <w:numId w:val="6"/>
        </w:numPr>
        <w:tabs>
          <w:tab w:val="left" w:pos="993"/>
        </w:tabs>
        <w:ind w:left="0" w:firstLine="567"/>
        <w:jc w:val="both"/>
        <w:rPr>
          <w:rFonts w:ascii="Times New Roman" w:eastAsia="Times New Roman" w:hAnsi="Times New Roman" w:cs="Times New Roman"/>
          <w:b/>
          <w:sz w:val="24"/>
          <w:szCs w:val="24"/>
          <w:lang w:eastAsia="ru-RU"/>
        </w:rPr>
      </w:pPr>
      <w:r w:rsidRPr="005D1AD5">
        <w:rPr>
          <w:rFonts w:ascii="Times New Roman" w:hAnsi="Times New Roman" w:cs="Times New Roman"/>
          <w:sz w:val="24"/>
          <w:szCs w:val="24"/>
        </w:rPr>
        <w:t xml:space="preserve"> </w:t>
      </w:r>
      <w:r w:rsidR="000408C8" w:rsidRPr="005D1AD5">
        <w:rPr>
          <w:rFonts w:ascii="Times New Roman" w:hAnsi="Times New Roman" w:cs="Times New Roman"/>
          <w:sz w:val="24"/>
          <w:szCs w:val="24"/>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w:t>
      </w:r>
      <w:r w:rsidRPr="005D1AD5">
        <w:rPr>
          <w:rFonts w:ascii="Times New Roman" w:hAnsi="Times New Roman" w:cs="Times New Roman"/>
          <w:sz w:val="24"/>
          <w:szCs w:val="24"/>
        </w:rPr>
        <w:t>и в соответствии с пункт</w:t>
      </w:r>
      <w:r w:rsidR="0019175D" w:rsidRPr="005D1AD5">
        <w:rPr>
          <w:rFonts w:ascii="Times New Roman" w:hAnsi="Times New Roman" w:cs="Times New Roman"/>
          <w:sz w:val="24"/>
          <w:szCs w:val="24"/>
        </w:rPr>
        <w:t>ом</w:t>
      </w:r>
      <w:r w:rsidRPr="005D1AD5">
        <w:rPr>
          <w:rFonts w:ascii="Times New Roman" w:hAnsi="Times New Roman" w:cs="Times New Roman"/>
          <w:sz w:val="24"/>
          <w:szCs w:val="24"/>
        </w:rPr>
        <w:t xml:space="preserve"> 165 Положения </w:t>
      </w:r>
      <w:r w:rsidR="00262390" w:rsidRPr="005D1AD5">
        <w:rPr>
          <w:rFonts w:ascii="Times New Roman" w:hAnsi="Times New Roman" w:cs="Times New Roman"/>
          <w:sz w:val="24"/>
          <w:szCs w:val="24"/>
        </w:rPr>
        <w:t>и пунктом 2 раздела VIII документации об электронном аукционе</w:t>
      </w:r>
      <w:r w:rsidR="0073299F" w:rsidRPr="005D1AD5">
        <w:rPr>
          <w:rFonts w:ascii="Times New Roman" w:hAnsi="Times New Roman" w:cs="Times New Roman"/>
          <w:sz w:val="24"/>
          <w:szCs w:val="24"/>
        </w:rPr>
        <w:t>,</w:t>
      </w:r>
      <w:r w:rsidR="00262390" w:rsidRPr="005D1AD5">
        <w:rPr>
          <w:rFonts w:ascii="Times New Roman" w:hAnsi="Times New Roman" w:cs="Times New Roman"/>
          <w:sz w:val="24"/>
          <w:szCs w:val="24"/>
        </w:rPr>
        <w:t xml:space="preserve"> </w:t>
      </w:r>
      <w:r w:rsidRPr="005D1AD5">
        <w:rPr>
          <w:rFonts w:ascii="Times New Roman" w:hAnsi="Times New Roman" w:cs="Times New Roman"/>
          <w:sz w:val="24"/>
          <w:szCs w:val="24"/>
        </w:rPr>
        <w:t xml:space="preserve">договор </w:t>
      </w:r>
      <w:r w:rsidR="00E94B8A" w:rsidRPr="005D1AD5">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sidRPr="005D1AD5">
        <w:rPr>
          <w:rFonts w:ascii="Times New Roman" w:hAnsi="Times New Roman" w:cs="Times New Roman"/>
          <w:sz w:val="24"/>
          <w:szCs w:val="24"/>
        </w:rPr>
        <w:t xml:space="preserve">заключается с </w:t>
      </w:r>
      <w:r w:rsidR="0019175D" w:rsidRPr="005D1AD5">
        <w:rPr>
          <w:rFonts w:ascii="Times New Roman" w:hAnsi="Times New Roman" w:cs="Times New Roman"/>
          <w:sz w:val="24"/>
          <w:szCs w:val="24"/>
        </w:rPr>
        <w:t xml:space="preserve">единственным </w:t>
      </w:r>
      <w:r w:rsidR="00826822" w:rsidRPr="005D1AD5">
        <w:rPr>
          <w:rFonts w:ascii="Times New Roman" w:hAnsi="Times New Roman" w:cs="Times New Roman"/>
          <w:sz w:val="24"/>
          <w:szCs w:val="24"/>
        </w:rPr>
        <w:t xml:space="preserve">участником, </w:t>
      </w:r>
      <w:r w:rsidR="0019175D" w:rsidRPr="005D1AD5">
        <w:rPr>
          <w:rFonts w:ascii="Times New Roman" w:hAnsi="Times New Roman" w:cs="Times New Roman"/>
          <w:sz w:val="24"/>
          <w:szCs w:val="24"/>
        </w:rPr>
        <w:t>допущенным</w:t>
      </w:r>
      <w:r w:rsidR="0019175D" w:rsidRPr="005D1AD5">
        <w:rPr>
          <w:rFonts w:asciiTheme="minorHAnsi" w:eastAsiaTheme="minorEastAsia" w:hAnsiTheme="minorHAnsi" w:cstheme="minorBidi"/>
          <w:sz w:val="22"/>
          <w:szCs w:val="22"/>
          <w:lang w:eastAsia="ru-RU"/>
        </w:rPr>
        <w:t xml:space="preserve"> </w:t>
      </w:r>
      <w:r w:rsidR="0019175D" w:rsidRPr="005D1AD5">
        <w:rPr>
          <w:rFonts w:ascii="Times New Roman" w:hAnsi="Times New Roman" w:cs="Times New Roman"/>
          <w:sz w:val="24"/>
          <w:szCs w:val="24"/>
        </w:rPr>
        <w:t>к электронному аукциону</w:t>
      </w:r>
      <w:r w:rsidR="00826822" w:rsidRPr="005D1AD5">
        <w:rPr>
          <w:rFonts w:ascii="Times New Roman" w:hAnsi="Times New Roman" w:cs="Times New Roman"/>
          <w:sz w:val="24"/>
          <w:szCs w:val="24"/>
        </w:rPr>
        <w:t xml:space="preserve">, </w:t>
      </w:r>
      <w:r w:rsidR="006F40CA" w:rsidRPr="006F40CA">
        <w:rPr>
          <w:rFonts w:ascii="Times New Roman" w:hAnsi="Times New Roman" w:cs="Times New Roman"/>
          <w:sz w:val="24"/>
          <w:szCs w:val="24"/>
        </w:rPr>
        <w:t>Общество</w:t>
      </w:r>
      <w:r w:rsidR="006F40CA">
        <w:rPr>
          <w:rFonts w:ascii="Times New Roman" w:hAnsi="Times New Roman" w:cs="Times New Roman"/>
          <w:sz w:val="24"/>
          <w:szCs w:val="24"/>
        </w:rPr>
        <w:t>м</w:t>
      </w:r>
      <w:r w:rsidR="006F40CA" w:rsidRPr="006F40CA">
        <w:rPr>
          <w:rFonts w:ascii="Times New Roman" w:hAnsi="Times New Roman" w:cs="Times New Roman"/>
          <w:sz w:val="24"/>
          <w:szCs w:val="24"/>
        </w:rPr>
        <w:t xml:space="preserve"> с ограниченной ответственностью  "СМУ-31"</w:t>
      </w:r>
      <w:r w:rsidR="006F40CA">
        <w:rPr>
          <w:rFonts w:ascii="Times New Roman" w:hAnsi="Times New Roman" w:cs="Times New Roman"/>
          <w:sz w:val="24"/>
          <w:szCs w:val="24"/>
        </w:rPr>
        <w:t>.</w:t>
      </w: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8DEF84F"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F40CA" w:rsidRPr="006F40CA">
        <w:rPr>
          <w:rFonts w:ascii="Times New Roman" w:hAnsi="Times New Roman"/>
          <w:bCs/>
          <w:sz w:val="24"/>
        </w:rPr>
        <w:t>057270000011800309</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6"/>
        <w:gridCol w:w="2429"/>
        <w:gridCol w:w="3770"/>
      </w:tblGrid>
      <w:tr w:rsidR="00D543CA" w:rsidRPr="00A33A15" w14:paraId="6B33C90A" w14:textId="77777777" w:rsidTr="005A2036">
        <w:tc>
          <w:tcPr>
            <w:tcW w:w="3146" w:type="dxa"/>
            <w:vAlign w:val="bottom"/>
            <w:hideMark/>
          </w:tcPr>
          <w:p w14:paraId="3F1CD5A3" w14:textId="77777777" w:rsidR="00D543CA" w:rsidRPr="00A33A15" w:rsidRDefault="00D543CA" w:rsidP="005A2036">
            <w:pPr>
              <w:spacing w:before="240" w:after="0" w:line="240" w:lineRule="auto"/>
              <w:rPr>
                <w:rFonts w:ascii="Times New Roman" w:hAnsi="Times New Roman"/>
                <w:b/>
                <w:sz w:val="24"/>
                <w:szCs w:val="24"/>
              </w:rPr>
            </w:pPr>
            <w:bookmarkStart w:id="4" w:name="_Hlk505848398"/>
            <w:r w:rsidRPr="00A33A15">
              <w:rPr>
                <w:rFonts w:ascii="Times New Roman" w:hAnsi="Times New Roman"/>
                <w:b/>
                <w:sz w:val="24"/>
                <w:szCs w:val="24"/>
              </w:rPr>
              <w:t xml:space="preserve">Председатель комиссии: </w:t>
            </w:r>
          </w:p>
        </w:tc>
        <w:tc>
          <w:tcPr>
            <w:tcW w:w="2429" w:type="dxa"/>
          </w:tcPr>
          <w:p w14:paraId="503CAF79"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tcPr>
          <w:p w14:paraId="432485F4"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D543CA" w:rsidRPr="00A33A15" w14:paraId="48DD8AF2" w14:textId="77777777" w:rsidTr="005A2036">
        <w:tc>
          <w:tcPr>
            <w:tcW w:w="3146" w:type="dxa"/>
            <w:hideMark/>
          </w:tcPr>
          <w:p w14:paraId="3CB477F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В.П. </w:t>
            </w:r>
            <w:proofErr w:type="spellStart"/>
            <w:r w:rsidRPr="00A33A15">
              <w:rPr>
                <w:rFonts w:ascii="Times New Roman" w:hAnsi="Times New Roman"/>
                <w:color w:val="000000"/>
                <w:sz w:val="24"/>
                <w:szCs w:val="24"/>
              </w:rPr>
              <w:t>Таттар</w:t>
            </w:r>
            <w:proofErr w:type="spellEnd"/>
          </w:p>
        </w:tc>
        <w:tc>
          <w:tcPr>
            <w:tcW w:w="2429" w:type="dxa"/>
          </w:tcPr>
          <w:p w14:paraId="726A6DBB"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hideMark/>
          </w:tcPr>
          <w:p w14:paraId="78009192"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7DD6D19" w14:textId="77777777" w:rsidTr="005A2036">
        <w:tc>
          <w:tcPr>
            <w:tcW w:w="3146" w:type="dxa"/>
          </w:tcPr>
          <w:p w14:paraId="762837F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29" w:type="dxa"/>
          </w:tcPr>
          <w:p w14:paraId="7FF7AE3B" w14:textId="77777777" w:rsidR="00D543CA" w:rsidRPr="00A33A15" w:rsidRDefault="00D543CA" w:rsidP="005A2036">
            <w:pPr>
              <w:spacing w:before="240" w:after="0"/>
            </w:pPr>
          </w:p>
        </w:tc>
        <w:tc>
          <w:tcPr>
            <w:tcW w:w="3770" w:type="dxa"/>
            <w:vAlign w:val="bottom"/>
          </w:tcPr>
          <w:p w14:paraId="5BE413EE" w14:textId="77777777" w:rsidR="00D543CA" w:rsidRPr="00A33A15" w:rsidRDefault="00D543CA" w:rsidP="005A2036">
            <w:pPr>
              <w:spacing w:before="240" w:after="0"/>
            </w:pPr>
          </w:p>
        </w:tc>
      </w:tr>
      <w:tr w:rsidR="00D543CA" w:rsidRPr="00A33A15" w14:paraId="5979146A" w14:textId="77777777" w:rsidTr="005A2036">
        <w:tc>
          <w:tcPr>
            <w:tcW w:w="3146" w:type="dxa"/>
            <w:hideMark/>
          </w:tcPr>
          <w:p w14:paraId="64AF378A"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29" w:type="dxa"/>
          </w:tcPr>
          <w:p w14:paraId="30F292B5"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64F300F8" w14:textId="77777777" w:rsidR="00D543CA" w:rsidRPr="00A33A15" w:rsidRDefault="00D543CA" w:rsidP="005A2036">
            <w:pPr>
              <w:rPr>
                <w:rFonts w:ascii="Times New Roman" w:hAnsi="Times New Roman"/>
                <w:b/>
                <w:color w:val="000000"/>
                <w:sz w:val="24"/>
                <w:szCs w:val="24"/>
              </w:rPr>
            </w:pPr>
          </w:p>
        </w:tc>
      </w:tr>
      <w:tr w:rsidR="00D543CA" w:rsidRPr="00A33A15" w14:paraId="6C4EC2FF" w14:textId="77777777" w:rsidTr="005A2036">
        <w:tc>
          <w:tcPr>
            <w:tcW w:w="3146" w:type="dxa"/>
          </w:tcPr>
          <w:p w14:paraId="15111D0C"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29" w:type="dxa"/>
          </w:tcPr>
          <w:p w14:paraId="4C941679"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682EF3E0" w14:textId="77777777" w:rsidR="00D543CA" w:rsidRPr="00A33A15" w:rsidRDefault="00D543CA" w:rsidP="005A2036">
            <w:pPr>
              <w:spacing w:before="240" w:after="0"/>
            </w:pPr>
            <w:r w:rsidRPr="00A33A15">
              <w:rPr>
                <w:rFonts w:ascii="Times New Roman" w:hAnsi="Times New Roman"/>
                <w:color w:val="000000"/>
                <w:sz w:val="24"/>
                <w:szCs w:val="24"/>
              </w:rPr>
              <w:t>______________________</w:t>
            </w:r>
          </w:p>
        </w:tc>
      </w:tr>
      <w:tr w:rsidR="00D543CA" w:rsidRPr="00A33A15" w14:paraId="69F13509" w14:textId="77777777" w:rsidTr="005A2036">
        <w:tc>
          <w:tcPr>
            <w:tcW w:w="3146" w:type="dxa"/>
          </w:tcPr>
          <w:p w14:paraId="249B9CA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А.А. Воронов</w:t>
            </w:r>
          </w:p>
        </w:tc>
        <w:tc>
          <w:tcPr>
            <w:tcW w:w="2429" w:type="dxa"/>
          </w:tcPr>
          <w:p w14:paraId="00D6BCB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49129BD6"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014C30F" w14:textId="77777777" w:rsidTr="005A2036">
        <w:tc>
          <w:tcPr>
            <w:tcW w:w="3146" w:type="dxa"/>
          </w:tcPr>
          <w:p w14:paraId="658C8CD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29" w:type="dxa"/>
          </w:tcPr>
          <w:p w14:paraId="5C03BD2A"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167CE2C8"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27F4053" w14:textId="77777777" w:rsidTr="005A2036">
        <w:tc>
          <w:tcPr>
            <w:tcW w:w="3146" w:type="dxa"/>
          </w:tcPr>
          <w:p w14:paraId="478BFD5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29" w:type="dxa"/>
          </w:tcPr>
          <w:p w14:paraId="6082420D"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002CD1F4"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8224EE7" w14:textId="77777777" w:rsidTr="005A2036">
        <w:tc>
          <w:tcPr>
            <w:tcW w:w="3146" w:type="dxa"/>
          </w:tcPr>
          <w:p w14:paraId="07E5AAB8"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29" w:type="dxa"/>
          </w:tcPr>
          <w:p w14:paraId="10D31A61"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0DA7C44C" w14:textId="77777777" w:rsidR="00D543CA" w:rsidRPr="00A33A15" w:rsidRDefault="00D543CA" w:rsidP="005A2036">
            <w:pPr>
              <w:rPr>
                <w:rFonts w:ascii="Times New Roman" w:hAnsi="Times New Roman"/>
                <w:b/>
                <w:color w:val="000000"/>
                <w:sz w:val="24"/>
                <w:szCs w:val="24"/>
              </w:rPr>
            </w:pPr>
          </w:p>
        </w:tc>
      </w:tr>
      <w:tr w:rsidR="00D543CA" w:rsidRPr="00A33A15" w14:paraId="3E9AC75E" w14:textId="77777777" w:rsidTr="005A2036">
        <w:tc>
          <w:tcPr>
            <w:tcW w:w="3146" w:type="dxa"/>
          </w:tcPr>
          <w:p w14:paraId="5739F611"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29" w:type="dxa"/>
          </w:tcPr>
          <w:p w14:paraId="65A1D7A5"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0CDABD3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0533151C" w14:textId="77777777" w:rsidTr="005A2036">
        <w:trPr>
          <w:trHeight w:val="244"/>
        </w:trPr>
        <w:tc>
          <w:tcPr>
            <w:tcW w:w="3146" w:type="dxa"/>
          </w:tcPr>
          <w:p w14:paraId="52DF44CD"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О.О. Роженко</w:t>
            </w:r>
          </w:p>
        </w:tc>
        <w:tc>
          <w:tcPr>
            <w:tcW w:w="2429" w:type="dxa"/>
          </w:tcPr>
          <w:p w14:paraId="5A5F5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1771D633"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5F99415" w14:textId="77777777" w:rsidTr="005A2036">
        <w:trPr>
          <w:trHeight w:val="244"/>
        </w:trPr>
        <w:tc>
          <w:tcPr>
            <w:tcW w:w="3146" w:type="dxa"/>
          </w:tcPr>
          <w:p w14:paraId="13BD7797"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29" w:type="dxa"/>
          </w:tcPr>
          <w:p w14:paraId="66A199F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609CAF2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4B479843" w14:textId="77777777" w:rsidTr="005A2036">
        <w:trPr>
          <w:trHeight w:val="244"/>
        </w:trPr>
        <w:tc>
          <w:tcPr>
            <w:tcW w:w="3146" w:type="dxa"/>
          </w:tcPr>
          <w:p w14:paraId="02B2ED0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CE638B">
              <w:rPr>
                <w:rFonts w:ascii="Times New Roman" w:hAnsi="Times New Roman"/>
                <w:color w:val="000000"/>
                <w:sz w:val="24"/>
                <w:szCs w:val="24"/>
              </w:rPr>
              <w:t>Л.Б. Аллабердыева</w:t>
            </w:r>
          </w:p>
        </w:tc>
        <w:tc>
          <w:tcPr>
            <w:tcW w:w="2429" w:type="dxa"/>
          </w:tcPr>
          <w:p w14:paraId="253CF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2FB4EF28" w14:textId="77777777" w:rsidR="00D543CA" w:rsidRPr="00A33A15" w:rsidRDefault="00D543CA" w:rsidP="005A2036">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tbl>
    <w:p w14:paraId="4CB70361" w14:textId="77777777" w:rsidR="00CE087C" w:rsidRDefault="00CE087C" w:rsidP="006F40CA">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bookmarkStart w:id="5" w:name="_GoBack"/>
      <w:bookmarkEnd w:id="4"/>
      <w:bookmarkEnd w:id="5"/>
    </w:p>
    <w:sectPr w:rsidR="00CE087C" w:rsidSect="006F40CA">
      <w:footerReference w:type="even" r:id="rId14"/>
      <w:footerReference w:type="default" r:id="rId15"/>
      <w:pgSz w:w="11906" w:h="16838"/>
      <w:pgMar w:top="851" w:right="850" w:bottom="0"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2F8E" w14:textId="77777777" w:rsidR="00180102" w:rsidRDefault="00180102" w:rsidP="00A41FF2">
      <w:pPr>
        <w:spacing w:after="0" w:line="240" w:lineRule="auto"/>
      </w:pPr>
      <w:r>
        <w:separator/>
      </w:r>
    </w:p>
  </w:endnote>
  <w:endnote w:type="continuationSeparator" w:id="0">
    <w:p w14:paraId="690D2419" w14:textId="77777777" w:rsidR="00180102" w:rsidRDefault="00180102"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6F40CA"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75029"/>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CA7B" w14:textId="77777777" w:rsidR="00180102" w:rsidRDefault="00180102" w:rsidP="00A41FF2">
      <w:pPr>
        <w:spacing w:after="0" w:line="240" w:lineRule="auto"/>
      </w:pPr>
      <w:r>
        <w:separator/>
      </w:r>
    </w:p>
  </w:footnote>
  <w:footnote w:type="continuationSeparator" w:id="0">
    <w:p w14:paraId="4B94DA27" w14:textId="77777777" w:rsidR="00180102" w:rsidRDefault="00180102"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08C8"/>
    <w:rsid w:val="0005452C"/>
    <w:rsid w:val="00073644"/>
    <w:rsid w:val="000D24F4"/>
    <w:rsid w:val="00180102"/>
    <w:rsid w:val="0019175D"/>
    <w:rsid w:val="00197048"/>
    <w:rsid w:val="001A4B53"/>
    <w:rsid w:val="001C1580"/>
    <w:rsid w:val="001D42DB"/>
    <w:rsid w:val="001F64C5"/>
    <w:rsid w:val="00202369"/>
    <w:rsid w:val="002250AB"/>
    <w:rsid w:val="00230733"/>
    <w:rsid w:val="00262390"/>
    <w:rsid w:val="00264448"/>
    <w:rsid w:val="00360230"/>
    <w:rsid w:val="003E2B3B"/>
    <w:rsid w:val="00437CC2"/>
    <w:rsid w:val="0045627F"/>
    <w:rsid w:val="004D7D94"/>
    <w:rsid w:val="004E6D2E"/>
    <w:rsid w:val="005942EC"/>
    <w:rsid w:val="005D1AD5"/>
    <w:rsid w:val="005E6471"/>
    <w:rsid w:val="00600278"/>
    <w:rsid w:val="00600F3D"/>
    <w:rsid w:val="00601934"/>
    <w:rsid w:val="00622C06"/>
    <w:rsid w:val="0064334A"/>
    <w:rsid w:val="006C113F"/>
    <w:rsid w:val="006C424C"/>
    <w:rsid w:val="006E0FCD"/>
    <w:rsid w:val="006F40CA"/>
    <w:rsid w:val="00704911"/>
    <w:rsid w:val="0073299F"/>
    <w:rsid w:val="00744565"/>
    <w:rsid w:val="00745B20"/>
    <w:rsid w:val="007505AD"/>
    <w:rsid w:val="007774E1"/>
    <w:rsid w:val="007803A4"/>
    <w:rsid w:val="007B5D15"/>
    <w:rsid w:val="007E6C0D"/>
    <w:rsid w:val="008104C0"/>
    <w:rsid w:val="00820C72"/>
    <w:rsid w:val="00826822"/>
    <w:rsid w:val="00855B02"/>
    <w:rsid w:val="0086050F"/>
    <w:rsid w:val="0086620F"/>
    <w:rsid w:val="00875061"/>
    <w:rsid w:val="0088631F"/>
    <w:rsid w:val="008A5B2E"/>
    <w:rsid w:val="008B6237"/>
    <w:rsid w:val="009207C7"/>
    <w:rsid w:val="009B4E91"/>
    <w:rsid w:val="00A00C65"/>
    <w:rsid w:val="00A37FB3"/>
    <w:rsid w:val="00A41FF2"/>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E087C"/>
    <w:rsid w:val="00CE6C49"/>
    <w:rsid w:val="00D040D4"/>
    <w:rsid w:val="00D414E6"/>
    <w:rsid w:val="00D543CA"/>
    <w:rsid w:val="00D61700"/>
    <w:rsid w:val="00D625B0"/>
    <w:rsid w:val="00D70DFD"/>
    <w:rsid w:val="00D72104"/>
    <w:rsid w:val="00DB0B1A"/>
    <w:rsid w:val="00E06977"/>
    <w:rsid w:val="00E94B8A"/>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 w:type="table" w:styleId="af2">
    <w:name w:val="Table Grid"/>
    <w:basedOn w:val="a1"/>
    <w:uiPriority w:val="39"/>
    <w:rsid w:val="00D5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17520542">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328139280">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66352184">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11EF-1BF6-4B60-A552-0AD862CF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55</cp:revision>
  <cp:lastPrinted>2018-11-26T13:03:00Z</cp:lastPrinted>
  <dcterms:created xsi:type="dcterms:W3CDTF">2016-12-12T06:38:00Z</dcterms:created>
  <dcterms:modified xsi:type="dcterms:W3CDTF">2019-01-16T11:53:00Z</dcterms:modified>
</cp:coreProperties>
</file>